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D7" w:rsidRPr="0001702F" w:rsidRDefault="005163E4" w:rsidP="0001702F">
      <w:pPr>
        <w:widowControl w:val="0"/>
        <w:autoSpaceDE w:val="0"/>
        <w:autoSpaceDN w:val="0"/>
        <w:spacing w:after="0" w:line="240" w:lineRule="auto"/>
        <w:jc w:val="center"/>
        <w:rPr>
          <w:rFonts w:asciiTheme="majorHAnsi" w:hAnsiTheme="majorHAnsi" w:cstheme="majorHAnsi"/>
          <w:b/>
          <w:sz w:val="20"/>
          <w:szCs w:val="20"/>
          <w:lang w:val="en-US"/>
        </w:rPr>
      </w:pPr>
      <w:r>
        <w:rPr>
          <w:rFonts w:asciiTheme="majorHAnsi" w:hAnsiTheme="majorHAnsi" w:cstheme="majorHAnsi"/>
          <w:b/>
          <w:sz w:val="20"/>
          <w:szCs w:val="20"/>
          <w:lang w:val="en-US"/>
        </w:rPr>
        <w:t>Academic</w:t>
      </w:r>
      <w:r w:rsidR="00277ABF">
        <w:rPr>
          <w:rFonts w:asciiTheme="majorHAnsi" w:hAnsiTheme="majorHAnsi" w:cstheme="majorHAnsi"/>
          <w:b/>
          <w:sz w:val="20"/>
          <w:szCs w:val="20"/>
          <w:lang w:val="en-US"/>
        </w:rPr>
        <w:t xml:space="preserve"> language skills </w:t>
      </w:r>
      <w:r w:rsidR="0001702F" w:rsidRPr="0001702F">
        <w:rPr>
          <w:rFonts w:asciiTheme="majorHAnsi" w:hAnsiTheme="majorHAnsi" w:cstheme="majorHAnsi"/>
          <w:b/>
          <w:sz w:val="20"/>
          <w:szCs w:val="20"/>
          <w:lang w:val="en-US"/>
        </w:rPr>
        <w:t xml:space="preserve"> </w:t>
      </w:r>
    </w:p>
    <w:p w:rsidR="0001702F" w:rsidRPr="0001702F" w:rsidRDefault="0001702F" w:rsidP="00900FD7">
      <w:pPr>
        <w:widowControl w:val="0"/>
        <w:autoSpaceDE w:val="0"/>
        <w:autoSpaceDN w:val="0"/>
        <w:spacing w:after="0" w:line="240" w:lineRule="auto"/>
        <w:jc w:val="both"/>
        <w:rPr>
          <w:rFonts w:asciiTheme="majorHAnsi" w:eastAsia="Calibri Light" w:hAnsiTheme="majorHAnsi" w:cstheme="majorHAnsi"/>
          <w:b/>
          <w:color w:val="000000"/>
          <w:sz w:val="20"/>
          <w:szCs w:val="20"/>
          <w:lang w:val="en-GB" w:bidi="en-US"/>
        </w:rPr>
      </w:pP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ECTS Credit Points:</w:t>
      </w:r>
      <w:r w:rsidR="0001702F">
        <w:rPr>
          <w:rFonts w:asciiTheme="majorHAnsi" w:eastAsia="Calibri Light" w:hAnsiTheme="majorHAnsi" w:cstheme="majorHAnsi"/>
          <w:color w:val="000000"/>
          <w:sz w:val="20"/>
          <w:szCs w:val="20"/>
          <w:lang w:val="en-GB" w:bidi="en-US"/>
        </w:rPr>
        <w:t xml:space="preserve"> </w:t>
      </w:r>
      <w:r w:rsidR="0001702F" w:rsidRPr="0001702F">
        <w:rPr>
          <w:rFonts w:asciiTheme="majorHAnsi" w:hAnsiTheme="majorHAnsi" w:cstheme="majorHAnsi"/>
          <w:b/>
          <w:sz w:val="20"/>
          <w:szCs w:val="20"/>
          <w:lang w:val="en-US"/>
        </w:rPr>
        <w:t>3</w:t>
      </w:r>
    </w:p>
    <w:p w:rsidR="00900FD7" w:rsidRPr="0001702F" w:rsidRDefault="00277ABF"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Pr>
          <w:rFonts w:asciiTheme="majorHAnsi" w:eastAsia="Calibri Light" w:hAnsiTheme="majorHAnsi" w:cstheme="majorHAnsi"/>
          <w:color w:val="000000"/>
          <w:sz w:val="20"/>
          <w:szCs w:val="20"/>
          <w:lang w:val="en-GB" w:bidi="en-US"/>
        </w:rPr>
        <w:t>28</w:t>
      </w:r>
      <w:r w:rsidR="0001702F">
        <w:rPr>
          <w:rFonts w:asciiTheme="majorHAnsi" w:eastAsia="Calibri Light" w:hAnsiTheme="majorHAnsi" w:cstheme="majorHAnsi"/>
          <w:color w:val="000000"/>
          <w:sz w:val="20"/>
          <w:szCs w:val="20"/>
          <w:lang w:val="en-GB" w:bidi="en-US"/>
        </w:rPr>
        <w:t xml:space="preserve"> </w:t>
      </w:r>
      <w:r w:rsidR="00900FD7" w:rsidRPr="0001702F">
        <w:rPr>
          <w:rFonts w:asciiTheme="majorHAnsi" w:eastAsia="Calibri Light" w:hAnsiTheme="majorHAnsi" w:cstheme="majorHAnsi"/>
          <w:color w:val="000000"/>
          <w:sz w:val="20"/>
          <w:szCs w:val="20"/>
          <w:lang w:val="en-GB" w:bidi="en-US"/>
        </w:rPr>
        <w:t xml:space="preserve">hour(s) lecture and </w:t>
      </w:r>
      <w:r>
        <w:rPr>
          <w:rFonts w:asciiTheme="majorHAnsi" w:eastAsia="Calibri Light" w:hAnsiTheme="majorHAnsi" w:cstheme="majorHAnsi"/>
          <w:color w:val="000000"/>
          <w:sz w:val="20"/>
          <w:szCs w:val="20"/>
          <w:lang w:val="en-GB" w:bidi="en-US"/>
        </w:rPr>
        <w:t>0</w:t>
      </w:r>
      <w:bookmarkStart w:id="0" w:name="_GoBack"/>
      <w:bookmarkEnd w:id="0"/>
      <w:r w:rsidR="00900FD7" w:rsidRPr="0001702F">
        <w:rPr>
          <w:rFonts w:asciiTheme="majorHAnsi" w:eastAsia="Calibri Light" w:hAnsiTheme="majorHAnsi" w:cstheme="majorHAnsi"/>
          <w:color w:val="000000"/>
          <w:sz w:val="20"/>
          <w:szCs w:val="20"/>
          <w:lang w:val="en-GB" w:bidi="en-US"/>
        </w:rPr>
        <w:t xml:space="preserve"> hour(s) seminar per semester</w:t>
      </w:r>
      <w:r w:rsidR="005163E4">
        <w:rPr>
          <w:rFonts w:asciiTheme="majorHAnsi" w:eastAsia="Calibri Light" w:hAnsiTheme="majorHAnsi" w:cstheme="majorHAnsi"/>
          <w:color w:val="000000"/>
          <w:sz w:val="20"/>
          <w:szCs w:val="20"/>
          <w:lang w:val="en-GB" w:bidi="en-US"/>
        </w:rPr>
        <w:t xml:space="preserve"> (2</w:t>
      </w:r>
      <w:r w:rsidR="0001702F">
        <w:rPr>
          <w:rFonts w:asciiTheme="majorHAnsi" w:eastAsia="Calibri Light" w:hAnsiTheme="majorHAnsi" w:cstheme="majorHAnsi"/>
          <w:color w:val="000000"/>
          <w:sz w:val="20"/>
          <w:szCs w:val="20"/>
          <w:lang w:val="en-GB" w:bidi="en-US"/>
        </w:rPr>
        <w:t>+</w:t>
      </w:r>
      <w:r w:rsidR="005163E4">
        <w:rPr>
          <w:rFonts w:asciiTheme="majorHAnsi" w:eastAsia="Calibri Light" w:hAnsiTheme="majorHAnsi" w:cstheme="majorHAnsi"/>
          <w:color w:val="000000"/>
          <w:sz w:val="20"/>
          <w:szCs w:val="20"/>
          <w:lang w:val="en-GB" w:bidi="en-US"/>
        </w:rPr>
        <w:t>0</w:t>
      </w:r>
      <w:r w:rsidR="0001702F">
        <w:rPr>
          <w:rFonts w:asciiTheme="majorHAnsi" w:eastAsia="Calibri Light" w:hAnsiTheme="majorHAnsi" w:cstheme="majorHAnsi"/>
          <w:color w:val="000000"/>
          <w:sz w:val="20"/>
          <w:szCs w:val="20"/>
          <w:lang w:val="en-GB" w:bidi="en-US"/>
        </w:rPr>
        <w:t>/week)</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 xml:space="preserve">Type of exam: </w:t>
      </w:r>
      <w:r w:rsidR="0001702F" w:rsidRPr="0001702F">
        <w:rPr>
          <w:rFonts w:asciiTheme="majorHAnsi" w:eastAsia="Calibri Light" w:hAnsiTheme="majorHAnsi" w:cstheme="majorHAnsi"/>
          <w:color w:val="000000"/>
          <w:sz w:val="20"/>
          <w:szCs w:val="20"/>
          <w:lang w:val="en-GB" w:bidi="en-US"/>
        </w:rPr>
        <w:t>practical</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Requirements:</w:t>
      </w:r>
      <w:r w:rsidR="0001702F" w:rsidRPr="0001702F">
        <w:rPr>
          <w:rFonts w:asciiTheme="majorHAnsi" w:eastAsia="Calibri Light" w:hAnsiTheme="majorHAnsi" w:cstheme="majorHAnsi"/>
          <w:color w:val="000000"/>
          <w:sz w:val="20"/>
          <w:szCs w:val="20"/>
          <w:lang w:val="en-GB" w:bidi="en-US"/>
        </w:rPr>
        <w:t xml:space="preserve"> </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18"/>
          <w:szCs w:val="20"/>
          <w:lang w:val="en-GB" w:bidi="en-US"/>
        </w:rPr>
      </w:pPr>
      <w:r w:rsidRPr="0001702F">
        <w:rPr>
          <w:rFonts w:asciiTheme="majorHAnsi" w:eastAsia="Calibri Light" w:hAnsiTheme="majorHAnsi" w:cstheme="majorHAnsi"/>
          <w:color w:val="000000"/>
          <w:sz w:val="18"/>
          <w:szCs w:val="20"/>
          <w:lang w:val="en-GB" w:bidi="en-US"/>
        </w:rPr>
        <w:t xml:space="preserve">- for signature: </w:t>
      </w:r>
      <w:r w:rsidR="0001702F" w:rsidRPr="0001702F">
        <w:rPr>
          <w:rFonts w:asciiTheme="majorHAnsi" w:hAnsiTheme="majorHAnsi" w:cstheme="majorHAnsi"/>
          <w:sz w:val="20"/>
          <w:lang w:val="en-US"/>
        </w:rPr>
        <w:t>3 allowed absences per semester</w:t>
      </w:r>
      <w:r w:rsidR="0001702F">
        <w:rPr>
          <w:rFonts w:asciiTheme="majorHAnsi" w:hAnsiTheme="majorHAnsi" w:cstheme="majorHAnsi"/>
          <w:sz w:val="20"/>
          <w:lang w:val="en-US"/>
        </w:rPr>
        <w:t>.</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18"/>
          <w:szCs w:val="20"/>
          <w:lang w:val="en-GB" w:bidi="en-US"/>
        </w:rPr>
      </w:pPr>
      <w:r w:rsidRPr="0001702F">
        <w:rPr>
          <w:rFonts w:asciiTheme="majorHAnsi" w:eastAsia="Calibri Light" w:hAnsiTheme="majorHAnsi" w:cstheme="majorHAnsi"/>
          <w:color w:val="000000"/>
          <w:sz w:val="18"/>
          <w:szCs w:val="20"/>
          <w:lang w:val="en-GB" w:bidi="en-US"/>
        </w:rPr>
        <w:t xml:space="preserve">- for a grade: </w:t>
      </w:r>
      <w:r w:rsidR="0001702F" w:rsidRPr="0001702F">
        <w:rPr>
          <w:rFonts w:asciiTheme="majorHAnsi" w:hAnsiTheme="majorHAnsi" w:cstheme="majorHAnsi"/>
          <w:sz w:val="20"/>
          <w:lang w:val="en-US"/>
        </w:rPr>
        <w:t>Completing assignments / exercises</w:t>
      </w:r>
      <w:r w:rsidR="0001702F">
        <w:rPr>
          <w:rFonts w:asciiTheme="majorHAnsi" w:hAnsiTheme="majorHAnsi" w:cstheme="majorHAnsi"/>
          <w:sz w:val="20"/>
          <w:lang w:val="en-US"/>
        </w:rPr>
        <w:t>.</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18"/>
          <w:szCs w:val="20"/>
          <w:lang w:val="en-GB" w:bidi="en-US"/>
        </w:rPr>
      </w:pPr>
    </w:p>
    <w:p w:rsidR="0001702F" w:rsidRPr="0001702F" w:rsidRDefault="0001702F" w:rsidP="0001702F">
      <w:pPr>
        <w:suppressAutoHyphens/>
        <w:spacing w:after="0"/>
        <w:ind w:left="34"/>
        <w:rPr>
          <w:rFonts w:asciiTheme="majorHAnsi" w:hAnsiTheme="majorHAnsi" w:cstheme="majorHAnsi"/>
          <w:sz w:val="20"/>
          <w:szCs w:val="20"/>
        </w:rPr>
      </w:pPr>
      <w:proofErr w:type="spellStart"/>
      <w:r w:rsidRPr="0001702F">
        <w:rPr>
          <w:rFonts w:asciiTheme="majorHAnsi" w:hAnsiTheme="majorHAnsi" w:cstheme="majorHAnsi"/>
          <w:b/>
          <w:sz w:val="20"/>
          <w:szCs w:val="20"/>
        </w:rPr>
        <w:t>Summary</w:t>
      </w:r>
      <w:proofErr w:type="spellEnd"/>
      <w:r w:rsidRPr="0001702F">
        <w:rPr>
          <w:rFonts w:asciiTheme="majorHAnsi" w:hAnsiTheme="majorHAnsi" w:cstheme="majorHAnsi"/>
          <w:b/>
          <w:sz w:val="20"/>
          <w:szCs w:val="20"/>
        </w:rPr>
        <w:t xml:space="preserve"> of </w:t>
      </w:r>
      <w:proofErr w:type="spellStart"/>
      <w:r w:rsidRPr="0001702F">
        <w:rPr>
          <w:rFonts w:asciiTheme="majorHAnsi" w:hAnsiTheme="majorHAnsi" w:cstheme="majorHAnsi"/>
          <w:b/>
          <w:sz w:val="20"/>
          <w:szCs w:val="20"/>
        </w:rPr>
        <w:t>content</w:t>
      </w:r>
      <w:proofErr w:type="spellEnd"/>
      <w:r w:rsidRPr="0001702F">
        <w:rPr>
          <w:rFonts w:asciiTheme="majorHAnsi" w:hAnsiTheme="majorHAnsi" w:cstheme="majorHAnsi"/>
          <w:b/>
          <w:sz w:val="20"/>
          <w:szCs w:val="20"/>
        </w:rPr>
        <w:t xml:space="preserve"> - </w:t>
      </w:r>
      <w:proofErr w:type="spellStart"/>
      <w:r w:rsidRPr="0001702F">
        <w:rPr>
          <w:rFonts w:asciiTheme="majorHAnsi" w:hAnsiTheme="majorHAnsi" w:cstheme="majorHAnsi"/>
          <w:b/>
          <w:sz w:val="20"/>
          <w:szCs w:val="20"/>
          <w:u w:val="single"/>
        </w:rPr>
        <w:t>practice</w:t>
      </w:r>
      <w:proofErr w:type="spellEnd"/>
      <w:r w:rsidRPr="0001702F">
        <w:rPr>
          <w:rFonts w:asciiTheme="majorHAnsi" w:hAnsiTheme="majorHAnsi" w:cstheme="majorHAnsi"/>
          <w:sz w:val="20"/>
          <w:szCs w:val="20"/>
        </w:rPr>
        <w:t xml:space="preserve">: </w:t>
      </w:r>
    </w:p>
    <w:p w:rsidR="00900FD7" w:rsidRDefault="008A56F7" w:rsidP="00900FD7">
      <w:pPr>
        <w:spacing w:after="0" w:line="240" w:lineRule="auto"/>
        <w:contextualSpacing/>
        <w:jc w:val="both"/>
        <w:rPr>
          <w:rFonts w:asciiTheme="majorHAnsi" w:eastAsia="Calibri Light" w:hAnsiTheme="majorHAnsi" w:cstheme="majorHAnsi"/>
          <w:color w:val="000000"/>
          <w:sz w:val="20"/>
          <w:szCs w:val="20"/>
          <w:lang w:val="en-GB" w:bidi="en-US"/>
        </w:rPr>
      </w:pPr>
      <w:r>
        <w:rPr>
          <w:rFonts w:asciiTheme="majorHAnsi" w:eastAsia="Calibri Light" w:hAnsiTheme="majorHAnsi" w:cstheme="majorHAnsi"/>
          <w:color w:val="000000"/>
          <w:sz w:val="20"/>
          <w:szCs w:val="20"/>
          <w:lang w:val="en-GB" w:bidi="en-US"/>
        </w:rPr>
        <w:t>The aim of the course is to prepare students for academic studies in the field of agriculture. The focus is specifically on the skills which students of agribusiness and agriculture need, that include written and oral communication, technical vocabulary. During the course we intend to cover key facts and concepts from the discipline of agriculture.</w:t>
      </w:r>
    </w:p>
    <w:p w:rsidR="008A56F7" w:rsidRPr="0001702F" w:rsidRDefault="008A56F7" w:rsidP="00900FD7">
      <w:pPr>
        <w:spacing w:after="0" w:line="240" w:lineRule="auto"/>
        <w:contextualSpacing/>
        <w:jc w:val="both"/>
        <w:rPr>
          <w:rFonts w:asciiTheme="majorHAnsi" w:eastAsia="Calibri Light" w:hAnsiTheme="majorHAnsi" w:cstheme="majorHAnsi"/>
          <w:color w:val="000000"/>
          <w:sz w:val="20"/>
          <w:szCs w:val="20"/>
          <w:lang w:val="en-GB" w:bidi="en-US"/>
        </w:rPr>
      </w:pP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Orientation, needs analysis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Agriculture and business (Listening, speaking activities)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The origins of agribusiness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Foundations of modern agriculture (reading, writing activities)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Agricultural advances through the ages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Soil, land and environment (Listening, speaking activities)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Food security</w:t>
      </w:r>
    </w:p>
    <w:p w:rsidR="0001702F" w:rsidRPr="0001702F" w:rsidRDefault="0001702F"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sidRPr="0001702F">
        <w:rPr>
          <w:rFonts w:asciiTheme="majorHAnsi" w:eastAsia="Calibri Light" w:hAnsiTheme="majorHAnsi" w:cstheme="majorHAnsi"/>
          <w:b/>
          <w:color w:val="000000"/>
          <w:sz w:val="20"/>
          <w:szCs w:val="20"/>
          <w:lang w:val="en-GB" w:bidi="en-US"/>
        </w:rPr>
        <w:t>Midterm exam</w:t>
      </w:r>
      <w:r w:rsidR="00A4733C">
        <w:rPr>
          <w:rFonts w:asciiTheme="majorHAnsi" w:eastAsia="Calibri Light" w:hAnsiTheme="majorHAnsi" w:cstheme="majorHAnsi"/>
          <w:b/>
          <w:color w:val="000000"/>
          <w:sz w:val="20"/>
          <w:szCs w:val="20"/>
          <w:lang w:val="en-GB" w:bidi="en-US"/>
        </w:rPr>
        <w:t>.  Organic farming methods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Technology and agribusiness (reading, writing activities)</w:t>
      </w:r>
    </w:p>
    <w:p w:rsidR="0001702F" w:rsidRPr="0001702F" w:rsidRDefault="00A4733C"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Using IT for </w:t>
      </w:r>
      <w:proofErr w:type="gramStart"/>
      <w:r>
        <w:rPr>
          <w:rFonts w:asciiTheme="majorHAnsi" w:eastAsia="Calibri Light" w:hAnsiTheme="majorHAnsi" w:cstheme="majorHAnsi"/>
          <w:b/>
          <w:color w:val="000000"/>
          <w:sz w:val="20"/>
          <w:szCs w:val="20"/>
          <w:lang w:val="en-GB" w:bidi="en-US"/>
        </w:rPr>
        <w:t xml:space="preserve">research </w:t>
      </w:r>
      <w:r w:rsidR="0001702F" w:rsidRPr="0001702F">
        <w:rPr>
          <w:rFonts w:asciiTheme="majorHAnsi" w:eastAsia="Calibri Light" w:hAnsiTheme="majorHAnsi" w:cstheme="majorHAnsi"/>
          <w:b/>
          <w:color w:val="000000"/>
          <w:sz w:val="20"/>
          <w:szCs w:val="20"/>
          <w:lang w:val="en-GB" w:bidi="en-US"/>
        </w:rPr>
        <w:t>.</w:t>
      </w:r>
      <w:proofErr w:type="gramEnd"/>
    </w:p>
    <w:p w:rsidR="00A4733C" w:rsidRPr="0001702F" w:rsidRDefault="00A4733C" w:rsidP="00A4733C">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Agribusiness marketing (Listening, speaking activities)</w:t>
      </w:r>
    </w:p>
    <w:p w:rsidR="0001702F" w:rsidRPr="0001702F" w:rsidRDefault="001B1917"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Products and strategies, marketing mix (reading, writing activities) </w:t>
      </w:r>
    </w:p>
    <w:p w:rsidR="0001702F" w:rsidRPr="0001702F" w:rsidRDefault="0001702F"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sidRPr="0001702F">
        <w:rPr>
          <w:rFonts w:asciiTheme="majorHAnsi" w:eastAsia="Calibri Light" w:hAnsiTheme="majorHAnsi" w:cstheme="majorHAnsi"/>
          <w:b/>
          <w:color w:val="000000"/>
          <w:sz w:val="20"/>
          <w:szCs w:val="20"/>
          <w:lang w:val="en-GB" w:bidi="en-US"/>
        </w:rPr>
        <w:t>Revision</w:t>
      </w:r>
    </w:p>
    <w:p w:rsidR="00900FD7" w:rsidRPr="0001702F" w:rsidRDefault="0001702F" w:rsidP="0001702F">
      <w:pPr>
        <w:pStyle w:val="Listaszerbekezds"/>
        <w:numPr>
          <w:ilvl w:val="0"/>
          <w:numId w:val="8"/>
        </w:numPr>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b/>
          <w:color w:val="000000"/>
          <w:sz w:val="20"/>
          <w:szCs w:val="20"/>
          <w:lang w:val="en-GB" w:bidi="en-US"/>
        </w:rPr>
        <w:t>End term, Evaluation</w:t>
      </w:r>
    </w:p>
    <w:p w:rsidR="00900FD7" w:rsidRPr="0001702F" w:rsidRDefault="00900FD7" w:rsidP="00900FD7">
      <w:pPr>
        <w:widowControl w:val="0"/>
        <w:autoSpaceDE w:val="0"/>
        <w:autoSpaceDN w:val="0"/>
        <w:spacing w:before="60" w:after="0" w:line="240" w:lineRule="auto"/>
        <w:jc w:val="both"/>
        <w:rPr>
          <w:rFonts w:asciiTheme="majorHAnsi" w:eastAsia="Calibri Light" w:hAnsiTheme="majorHAnsi" w:cstheme="majorHAnsi"/>
          <w:b/>
          <w:color w:val="000000"/>
          <w:sz w:val="20"/>
          <w:szCs w:val="20"/>
          <w:lang w:val="en-GB" w:bidi="en-US"/>
        </w:rPr>
      </w:pPr>
    </w:p>
    <w:p w:rsidR="00900FD7" w:rsidRPr="0001702F" w:rsidRDefault="00900FD7" w:rsidP="00900FD7">
      <w:pPr>
        <w:widowControl w:val="0"/>
        <w:autoSpaceDE w:val="0"/>
        <w:autoSpaceDN w:val="0"/>
        <w:spacing w:before="60" w:after="0" w:line="240" w:lineRule="auto"/>
        <w:jc w:val="both"/>
        <w:rPr>
          <w:rFonts w:asciiTheme="majorHAnsi" w:eastAsia="Calibri Light" w:hAnsiTheme="majorHAnsi" w:cstheme="majorHAnsi"/>
          <w:b/>
          <w:color w:val="000000"/>
          <w:sz w:val="20"/>
          <w:szCs w:val="20"/>
          <w:lang w:val="en-GB" w:bidi="en-US"/>
        </w:rPr>
      </w:pPr>
      <w:r w:rsidRPr="0001702F">
        <w:rPr>
          <w:rFonts w:asciiTheme="majorHAnsi" w:eastAsia="Calibri Light" w:hAnsiTheme="majorHAnsi" w:cstheme="majorHAnsi"/>
          <w:b/>
          <w:color w:val="000000"/>
          <w:sz w:val="20"/>
          <w:szCs w:val="20"/>
          <w:lang w:val="en-GB" w:bidi="en-US"/>
        </w:rPr>
        <w:t>Literature</w:t>
      </w:r>
    </w:p>
    <w:p w:rsidR="003912F0" w:rsidRDefault="003912F0" w:rsidP="0001702F">
      <w:pPr>
        <w:rPr>
          <w:rFonts w:asciiTheme="majorHAnsi" w:eastAsia="Calibri Light" w:hAnsiTheme="majorHAnsi" w:cstheme="majorHAnsi"/>
          <w:color w:val="000000"/>
          <w:sz w:val="20"/>
          <w:szCs w:val="20"/>
          <w:lang w:val="en-GB" w:bidi="en-US"/>
        </w:rPr>
      </w:pPr>
      <w:r>
        <w:rPr>
          <w:rFonts w:asciiTheme="majorHAnsi" w:eastAsia="Calibri Light" w:hAnsiTheme="majorHAnsi" w:cstheme="majorHAnsi"/>
          <w:color w:val="000000"/>
          <w:sz w:val="20"/>
          <w:szCs w:val="20"/>
          <w:lang w:val="en-GB" w:bidi="en-US"/>
        </w:rPr>
        <w:t>ROBIN MATHESON (2014): Agribusiness and Agriculture in Higher Education Studies. Garnet publishing Ltd. ISBN  978-1-859664-450-0</w:t>
      </w:r>
    </w:p>
    <w:p w:rsidR="0001702F" w:rsidRPr="0001702F" w:rsidRDefault="0001702F" w:rsidP="0001702F">
      <w:pPr>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ANDREWS, P. H. &amp; BAIRD, J. E. (2000): Communication for Business and the Professions 8th Edition. Waveland Press, Long Grove, IL. ISBN-13: 978-1577663799, 720 old.</w:t>
      </w:r>
    </w:p>
    <w:p w:rsidR="0001702F" w:rsidRPr="0001702F" w:rsidRDefault="0001702F" w:rsidP="0001702F">
      <w:pPr>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WIWCZAROSKI, T.B. (2007): Writing and Professional Communication. Debrecen, 97 old.</w:t>
      </w:r>
    </w:p>
    <w:p w:rsidR="00430647" w:rsidRPr="0001702F" w:rsidRDefault="0001702F" w:rsidP="0001702F">
      <w:pPr>
        <w:rPr>
          <w:rFonts w:asciiTheme="majorHAnsi" w:hAnsiTheme="majorHAnsi" w:cstheme="majorHAnsi"/>
          <w:sz w:val="20"/>
          <w:szCs w:val="20"/>
        </w:rPr>
      </w:pPr>
      <w:r w:rsidRPr="0001702F">
        <w:rPr>
          <w:rFonts w:asciiTheme="majorHAnsi" w:eastAsia="Calibri Light" w:hAnsiTheme="majorHAnsi" w:cstheme="majorHAnsi"/>
          <w:color w:val="000000"/>
          <w:sz w:val="20"/>
          <w:szCs w:val="20"/>
          <w:lang w:val="en-GB" w:bidi="en-US"/>
        </w:rPr>
        <w:t>Michael McCarthy, Felicity O’Dell: Academic Vocabulary in Use</w:t>
      </w:r>
    </w:p>
    <w:sectPr w:rsidR="00430647" w:rsidRPr="00017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3872"/>
    <w:multiLevelType w:val="hybridMultilevel"/>
    <w:tmpl w:val="16AAC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7E6AF4"/>
    <w:multiLevelType w:val="hybridMultilevel"/>
    <w:tmpl w:val="A27632BE"/>
    <w:lvl w:ilvl="0" w:tplc="040E000F">
      <w:start w:val="1"/>
      <w:numFmt w:val="decimal"/>
      <w:lvlText w:val="%1."/>
      <w:lvlJc w:val="left"/>
      <w:pPr>
        <w:ind w:left="1070" w:hanging="360"/>
      </w:pPr>
      <w:rPr>
        <w:rFonts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2" w15:restartNumberingAfterBreak="0">
    <w:nsid w:val="0D7B61ED"/>
    <w:multiLevelType w:val="hybridMultilevel"/>
    <w:tmpl w:val="16AAC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F2918B1"/>
    <w:multiLevelType w:val="hybridMultilevel"/>
    <w:tmpl w:val="DB5AA4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DAA7F6F"/>
    <w:multiLevelType w:val="hybridMultilevel"/>
    <w:tmpl w:val="FAA8B0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2453F1D"/>
    <w:multiLevelType w:val="hybridMultilevel"/>
    <w:tmpl w:val="177677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8DA302B"/>
    <w:multiLevelType w:val="hybridMultilevel"/>
    <w:tmpl w:val="16AAC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B38548A"/>
    <w:multiLevelType w:val="hybridMultilevel"/>
    <w:tmpl w:val="79A657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D7"/>
    <w:rsid w:val="0001702F"/>
    <w:rsid w:val="00161733"/>
    <w:rsid w:val="001B1917"/>
    <w:rsid w:val="00256D4D"/>
    <w:rsid w:val="00277ABF"/>
    <w:rsid w:val="003912F0"/>
    <w:rsid w:val="00430647"/>
    <w:rsid w:val="004574F2"/>
    <w:rsid w:val="00506CB8"/>
    <w:rsid w:val="005163E4"/>
    <w:rsid w:val="00620FD5"/>
    <w:rsid w:val="00812253"/>
    <w:rsid w:val="00841A6D"/>
    <w:rsid w:val="008A56F7"/>
    <w:rsid w:val="00900FD7"/>
    <w:rsid w:val="00927475"/>
    <w:rsid w:val="00A37D5C"/>
    <w:rsid w:val="00A4733C"/>
    <w:rsid w:val="00AB26FE"/>
    <w:rsid w:val="00B11625"/>
    <w:rsid w:val="00BC2E2F"/>
    <w:rsid w:val="00D40C90"/>
    <w:rsid w:val="00D85C51"/>
    <w:rsid w:val="00E97295"/>
    <w:rsid w:val="00F635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746D"/>
  <w15:chartTrackingRefBased/>
  <w15:docId w15:val="{6AB08ACB-C4D2-42E7-8FC0-AB70F2B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00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1449</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user</cp:lastModifiedBy>
  <cp:revision>5</cp:revision>
  <dcterms:created xsi:type="dcterms:W3CDTF">2022-06-30T11:55:00Z</dcterms:created>
  <dcterms:modified xsi:type="dcterms:W3CDTF">2022-10-28T07:13:00Z</dcterms:modified>
</cp:coreProperties>
</file>